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4C" w:rsidRDefault="0060394C" w:rsidP="00603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Смета расходов за 2011г. (апрель-декабрь)</w:t>
      </w:r>
    </w:p>
    <w:p w:rsidR="0060394C" w:rsidRDefault="0060394C" w:rsidP="0060394C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800"/>
        <w:gridCol w:w="1800"/>
        <w:gridCol w:w="1903"/>
      </w:tblGrid>
      <w:tr w:rsidR="0060394C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Статьи расходов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Сумма (руб.)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Стоимость расходов в руб. на 1 кв</w:t>
            </w:r>
            <w:proofErr w:type="gramStart"/>
            <w:r w:rsidRPr="00DF4A8E">
              <w:t>.м</w:t>
            </w:r>
            <w:proofErr w:type="gramEnd"/>
          </w:p>
        </w:tc>
        <w:tc>
          <w:tcPr>
            <w:tcW w:w="1903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>
              <w:t>Обслуживаемая площадь</w:t>
            </w:r>
            <w:r w:rsidRPr="00DF4A8E">
              <w:t xml:space="preserve"> кв</w:t>
            </w:r>
            <w:proofErr w:type="gramStart"/>
            <w:r w:rsidRPr="00DF4A8E">
              <w:t>.м</w:t>
            </w:r>
            <w:proofErr w:type="gramEnd"/>
          </w:p>
        </w:tc>
      </w:tr>
      <w:tr w:rsidR="0060394C" w:rsidRPr="00DF4A8E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Содержание и техническое обслуживание (договор с УК «Дом-Сервис»)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521722,53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7</w:t>
            </w:r>
          </w:p>
        </w:tc>
        <w:tc>
          <w:tcPr>
            <w:tcW w:w="1903" w:type="dxa"/>
            <w:vMerge w:val="restart"/>
            <w:vAlign w:val="center"/>
          </w:tcPr>
          <w:p w:rsidR="0060394C" w:rsidRPr="00DF4A8E" w:rsidRDefault="0060394C" w:rsidP="003F1555">
            <w:pPr>
              <w:jc w:val="center"/>
              <w:rPr>
                <w:rFonts w:eastAsia="Calibri"/>
              </w:rPr>
            </w:pPr>
          </w:p>
          <w:p w:rsidR="0060394C" w:rsidRPr="00DF4A8E" w:rsidRDefault="0060394C" w:rsidP="003F1555">
            <w:pPr>
              <w:jc w:val="center"/>
              <w:rPr>
                <w:rFonts w:eastAsia="Calibri"/>
              </w:rPr>
            </w:pPr>
            <w:r w:rsidRPr="00DF4A8E">
              <w:t>8281,31</w:t>
            </w:r>
          </w:p>
        </w:tc>
      </w:tr>
      <w:tr w:rsidR="0060394C" w:rsidRPr="00DF4A8E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 xml:space="preserve">Услуги МИВЦ 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39693,14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0,53</w:t>
            </w:r>
          </w:p>
        </w:tc>
        <w:tc>
          <w:tcPr>
            <w:tcW w:w="1903" w:type="dxa"/>
            <w:vMerge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</w:tr>
      <w:tr w:rsidR="0060394C" w:rsidRPr="00DF4A8E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Услуги паспортного стола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12839,58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0,17</w:t>
            </w:r>
          </w:p>
        </w:tc>
        <w:tc>
          <w:tcPr>
            <w:tcW w:w="1903" w:type="dxa"/>
            <w:vMerge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</w:tr>
      <w:tr w:rsidR="0060394C" w:rsidRPr="00DF4A8E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Бухгалтерское сопровождение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27000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0,36</w:t>
            </w:r>
          </w:p>
        </w:tc>
        <w:tc>
          <w:tcPr>
            <w:tcW w:w="1903" w:type="dxa"/>
            <w:vMerge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</w:tr>
      <w:tr w:rsidR="0060394C" w:rsidRPr="00DF4A8E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Юридическое сопровождение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  <w:tc>
          <w:tcPr>
            <w:tcW w:w="1903" w:type="dxa"/>
            <w:vMerge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</w:tr>
      <w:tr w:rsidR="0060394C" w:rsidRPr="00DF4A8E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Подрядные организации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  <w:tc>
          <w:tcPr>
            <w:tcW w:w="1903" w:type="dxa"/>
            <w:vMerge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</w:tr>
      <w:tr w:rsidR="0060394C" w:rsidRPr="00DF4A8E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 w:rsidRPr="00DF4A8E">
              <w:t>Взносы в НП «ВСТ»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>
              <w:rPr>
                <w:rFonts w:eastAsia="Calibri"/>
              </w:rPr>
              <w:t>3515,99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1903" w:type="dxa"/>
            <w:vMerge/>
          </w:tcPr>
          <w:p w:rsidR="0060394C" w:rsidRPr="00DF4A8E" w:rsidRDefault="0060394C" w:rsidP="003F1555">
            <w:pPr>
              <w:rPr>
                <w:rFonts w:eastAsia="Calibri"/>
              </w:rPr>
            </w:pPr>
          </w:p>
        </w:tc>
      </w:tr>
      <w:tr w:rsidR="0060394C" w:rsidRPr="00DF4A8E" w:rsidTr="003F1555">
        <w:tc>
          <w:tcPr>
            <w:tcW w:w="4068" w:type="dxa"/>
          </w:tcPr>
          <w:p w:rsidR="0060394C" w:rsidRPr="00DF4A8E" w:rsidRDefault="0060394C" w:rsidP="003F1555">
            <w:pPr>
              <w:rPr>
                <w:rFonts w:eastAsia="Calibri"/>
                <w:b/>
              </w:rPr>
            </w:pPr>
            <w:r w:rsidRPr="00DF4A8E">
              <w:rPr>
                <w:b/>
              </w:rPr>
              <w:t>Итого: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  <w:b/>
              </w:rPr>
            </w:pPr>
            <w:r w:rsidRPr="00DF4A8E">
              <w:rPr>
                <w:b/>
              </w:rPr>
              <w:t>6</w:t>
            </w:r>
            <w:r>
              <w:rPr>
                <w:b/>
              </w:rPr>
              <w:t>04771,24</w:t>
            </w:r>
          </w:p>
        </w:tc>
        <w:tc>
          <w:tcPr>
            <w:tcW w:w="1800" w:type="dxa"/>
          </w:tcPr>
          <w:p w:rsidR="0060394C" w:rsidRPr="00DF4A8E" w:rsidRDefault="0060394C" w:rsidP="003F1555">
            <w:pPr>
              <w:rPr>
                <w:rFonts w:eastAsia="Calibri"/>
                <w:b/>
              </w:rPr>
            </w:pPr>
            <w:r w:rsidRPr="00DF4A8E">
              <w:rPr>
                <w:b/>
              </w:rPr>
              <w:t>8,</w:t>
            </w:r>
            <w:r>
              <w:rPr>
                <w:b/>
              </w:rPr>
              <w:t>11</w:t>
            </w:r>
          </w:p>
        </w:tc>
        <w:tc>
          <w:tcPr>
            <w:tcW w:w="1903" w:type="dxa"/>
            <w:vMerge/>
          </w:tcPr>
          <w:p w:rsidR="0060394C" w:rsidRPr="00DF4A8E" w:rsidRDefault="0060394C" w:rsidP="003F1555">
            <w:pPr>
              <w:rPr>
                <w:rFonts w:eastAsia="Calibri"/>
                <w:b/>
              </w:rPr>
            </w:pPr>
          </w:p>
        </w:tc>
      </w:tr>
    </w:tbl>
    <w:p w:rsidR="00F4249E" w:rsidRDefault="00F4249E"/>
    <w:sectPr w:rsidR="00F4249E" w:rsidSect="00F4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4C"/>
    <w:rsid w:val="0060394C"/>
    <w:rsid w:val="00F4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Администрация городского округа г. Воронеж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2012-05-22T11:47:00Z</dcterms:created>
  <dcterms:modified xsi:type="dcterms:W3CDTF">2012-05-22T11:47:00Z</dcterms:modified>
</cp:coreProperties>
</file>